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5922"/>
      </w:tblGrid>
      <w:tr w:rsidR="00D50FF2">
        <w:trPr>
          <w:trHeight w:val="1278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50FF2" w:rsidRDefault="0052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ỦY BAN NHÂN DÂN </w:t>
            </w:r>
          </w:p>
          <w:p w:rsidR="00D50FF2" w:rsidRDefault="0052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198120</wp:posOffset>
                      </wp:positionV>
                      <wp:extent cx="636905" cy="0"/>
                      <wp:effectExtent l="0" t="0" r="2984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5.6pt" to="104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UdHAIAADU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TỈNH HÀ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6"/>
                <w:lang w:val="nl-NL"/>
              </w:rPr>
              <w:t xml:space="preserve"> TĨNH</w:t>
            </w:r>
          </w:p>
          <w:p w:rsidR="00D50FF2" w:rsidRDefault="00522D3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Số</w:t>
            </w:r>
            <w:r w:rsidR="00C955A3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 44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/2025/QĐ-UBND</w:t>
            </w:r>
          </w:p>
          <w:p w:rsidR="00D50FF2" w:rsidRDefault="00D50FF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vertAlign w:val="superscript"/>
                <w:lang w:val="nl-NL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:rsidR="00D50FF2" w:rsidRDefault="00522D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CỘNG HÒA XÃ HỘI CHỦ NGHĨA VIỆT NAM</w:t>
            </w:r>
          </w:p>
          <w:p w:rsidR="00D50FF2" w:rsidRDefault="00522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Độc lập - Tự do - Hạnh phúc</w:t>
            </w:r>
          </w:p>
          <w:p w:rsidR="00D50FF2" w:rsidRDefault="00522D3F">
            <w:pPr>
              <w:pStyle w:val="Heading1"/>
              <w:spacing w:before="240" w:line="240" w:lineRule="auto"/>
              <w:rPr>
                <w:rFonts w:ascii="Times New Roman" w:hAnsi="Times New Roman"/>
                <w:b w:val="0"/>
                <w:bCs/>
                <w:i/>
                <w:iCs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864260</wp:posOffset>
                      </wp:positionH>
                      <wp:positionV relativeFrom="paragraph">
                        <wp:posOffset>41275</wp:posOffset>
                      </wp:positionV>
                      <wp:extent cx="2081174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1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line w14:anchorId="6730CDF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3.25pt" to="231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30"/>
                <w:szCs w:val="28"/>
                <w:lang w:val="nl-NL"/>
              </w:rPr>
              <w:t xml:space="preserve">                </w:t>
            </w:r>
            <w:r w:rsidR="00C955A3">
              <w:rPr>
                <w:rFonts w:ascii="Times New Roman" w:hAnsi="Times New Roman"/>
                <w:b w:val="0"/>
                <w:bCs/>
                <w:i/>
                <w:iCs w:val="0"/>
                <w:szCs w:val="28"/>
                <w:lang w:val="nl-NL"/>
              </w:rPr>
              <w:t>Hà Tĩnh, ngày 04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Cs w:val="28"/>
                <w:lang w:val="nl-NL"/>
              </w:rPr>
              <w:t xml:space="preserve"> tháng  </w:t>
            </w:r>
            <w:r w:rsidR="00C955A3">
              <w:rPr>
                <w:rFonts w:ascii="Times New Roman" w:hAnsi="Times New Roman"/>
                <w:b w:val="0"/>
                <w:bCs/>
                <w:i/>
                <w:iCs w:val="0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Cs w:val="28"/>
                <w:lang w:val="nl-NL"/>
              </w:rPr>
              <w:t xml:space="preserve"> năm 2025</w:t>
            </w:r>
          </w:p>
        </w:tc>
      </w:tr>
    </w:tbl>
    <w:p w:rsidR="00D50FF2" w:rsidRPr="00B078FE" w:rsidRDefault="00522D3F" w:rsidP="00B078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8FE">
        <w:rPr>
          <w:rFonts w:ascii="Times New Roman" w:hAnsi="Times New Roman" w:cs="Times New Roman"/>
          <w:b/>
          <w:sz w:val="26"/>
          <w:szCs w:val="26"/>
        </w:rPr>
        <w:t>QUYẾT ĐỊNH</w:t>
      </w:r>
    </w:p>
    <w:p w:rsidR="00D50FF2" w:rsidRPr="00B078FE" w:rsidRDefault="00522D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41792281"/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Bãi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bỏ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sô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́ 59/2015/QĐ-UBND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24/11/2015</w:t>
      </w:r>
    </w:p>
    <w:p w:rsidR="00D50FF2" w:rsidRPr="00B078FE" w:rsidRDefault="00522D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B078F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proofErr w:type="gram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Uỷ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chí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vườn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mẫu</w:t>
      </w:r>
      <w:proofErr w:type="spellEnd"/>
    </w:p>
    <w:p w:rsidR="00D50FF2" w:rsidRPr="00B078FE" w:rsidRDefault="00522D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B078FE">
        <w:rPr>
          <w:rFonts w:ascii="Times New Roman" w:hAnsi="Times New Roman" w:cs="Times New Roman"/>
          <w:b/>
          <w:sz w:val="26"/>
          <w:szCs w:val="26"/>
        </w:rPr>
        <w:t>nông</w:t>
      </w:r>
      <w:proofErr w:type="spellEnd"/>
      <w:proofErr w:type="gram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thôn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mới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áp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bàn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Tĩnh</w:t>
      </w:r>
      <w:proofErr w:type="spellEnd"/>
    </w:p>
    <w:bookmarkEnd w:id="0"/>
    <w:p w:rsidR="00D50FF2" w:rsidRPr="00B078FE" w:rsidRDefault="00522D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8F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8F4ED" wp14:editId="4A991498">
                <wp:simplePos x="0" y="0"/>
                <wp:positionH relativeFrom="margin">
                  <wp:posOffset>2180590</wp:posOffset>
                </wp:positionH>
                <wp:positionV relativeFrom="paragraph">
                  <wp:posOffset>21688</wp:posOffset>
                </wp:positionV>
                <wp:extent cx="1565031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0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.7pt,1.7pt" to="294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50FF2" w:rsidRPr="00B078FE" w:rsidRDefault="00522D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Luật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Tổ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chức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quyền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16/6/2025; </w:t>
      </w:r>
    </w:p>
    <w:p w:rsidR="00D50FF2" w:rsidRPr="00B078FE" w:rsidRDefault="00522D3F">
      <w:pPr>
        <w:spacing w:before="60" w:after="60" w:line="240" w:lineRule="auto"/>
        <w:ind w:firstLine="720"/>
        <w:jc w:val="both"/>
        <w:rPr>
          <w:rFonts w:ascii="Times New Roman Italic" w:hAnsi="Times New Roman Italic" w:cs="Times New Roman"/>
          <w:i/>
          <w:spacing w:val="-6"/>
          <w:sz w:val="26"/>
          <w:szCs w:val="26"/>
        </w:rPr>
      </w:pP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Căn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cứ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Luật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Ban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hành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văn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bản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quy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phạm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pháp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luật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ngày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19/02/2025;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Luật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sửa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đổi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,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bổ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sung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một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số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điều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của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Luật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Ban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hành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văn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bản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quy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phạm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pháp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luật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</w:t>
      </w:r>
      <w:proofErr w:type="spellStart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>ngày</w:t>
      </w:r>
      <w:proofErr w:type="spellEnd"/>
      <w:r w:rsidRPr="00B078FE">
        <w:rPr>
          <w:rFonts w:ascii="Times New Roman Italic" w:hAnsi="Times New Roman Italic" w:cs="Times New Roman"/>
          <w:i/>
          <w:spacing w:val="-6"/>
          <w:sz w:val="26"/>
          <w:szCs w:val="26"/>
        </w:rPr>
        <w:t xml:space="preserve"> 25/6/2025;</w:t>
      </w:r>
    </w:p>
    <w:p w:rsidR="00D50FF2" w:rsidRPr="00B078FE" w:rsidRDefault="00522D3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phủ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78/2025/NĐ-CP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01/4/2025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chi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điều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biện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tổ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chức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thi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1" w:name="tvpllink_wmctndtokn_1"/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Luật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phạm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luật</w:t>
      </w:r>
      <w:bookmarkEnd w:id="1"/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;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79/2025/NĐ-CP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01/4/2025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kiểm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tra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rà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soát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hệ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thống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hóa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xử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phạm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luật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;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187/2025/NĐ-CP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01/7/2025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sửa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đổi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bổ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sung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điều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78/2025/NĐ-CP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01/4/2025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phủ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chi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điều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biện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tổ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chức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thi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Luật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phạm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luật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79/2025/NĐ-CP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01/4/2025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phủ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kiểm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tra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rà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soát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hệ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thống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hóa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xử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phạm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luật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>;</w:t>
      </w:r>
    </w:p>
    <w:p w:rsidR="00D50FF2" w:rsidRPr="00B078FE" w:rsidRDefault="00522D3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078FE">
        <w:rPr>
          <w:rFonts w:ascii="Times New Roman" w:hAnsi="Times New Roman" w:cs="Times New Roman"/>
          <w:i/>
          <w:sz w:val="26"/>
          <w:szCs w:val="26"/>
        </w:rPr>
        <w:t xml:space="preserve">Theo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Nông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nghiệp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Môi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783/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TTr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-SNNMT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29/7/2025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ý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kiến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thẩm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Tư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pháp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2086/BC-STP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26/7/2025;</w:t>
      </w:r>
      <w:r w:rsidRPr="00B078FE">
        <w:rPr>
          <w:rFonts w:ascii="Times New Roman" w:hAnsi="Times New Roman" w:cs="Times New Roman"/>
          <w:i/>
          <w:sz w:val="26"/>
          <w:szCs w:val="26"/>
          <w:lang w:val="nl-NL"/>
        </w:rPr>
        <w:t xml:space="preserve"> ý kiến đồng ý của các Thành viên UBND tỉnh qua Phiếu biểu quyết</w:t>
      </w:r>
      <w:r w:rsidRPr="00B078FE">
        <w:rPr>
          <w:rFonts w:ascii="Times New Roman" w:hAnsi="Times New Roman" w:cs="Times New Roman"/>
          <w:i/>
          <w:sz w:val="26"/>
          <w:szCs w:val="26"/>
        </w:rPr>
        <w:t>;</w:t>
      </w:r>
    </w:p>
    <w:p w:rsidR="00D50FF2" w:rsidRPr="00B078FE" w:rsidRDefault="00522D3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Ủy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bãi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bỏ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sô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́ 59/2015/QĐ-UBND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24/11/2015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Ủy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nhân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dân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Bộ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tiêu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chí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xây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dựng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vườn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mẫu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nông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thôn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mới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áp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dụng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trên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địa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bàn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Hà</w:t>
      </w:r>
      <w:proofErr w:type="spellEnd"/>
      <w:r w:rsidRPr="00B078F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i/>
          <w:sz w:val="26"/>
          <w:szCs w:val="26"/>
        </w:rPr>
        <w:t>Tĩnh</w:t>
      </w:r>
      <w:proofErr w:type="spellEnd"/>
      <w:r w:rsidRPr="00B078FE">
        <w:rPr>
          <w:rFonts w:ascii="Times New Roman" w:hAnsi="Times New Roman" w:cs="Times New Roman"/>
          <w:i/>
          <w:sz w:val="26"/>
          <w:szCs w:val="26"/>
        </w:rPr>
        <w:t>.</w:t>
      </w:r>
    </w:p>
    <w:p w:rsidR="00D50FF2" w:rsidRPr="00B078FE" w:rsidRDefault="00522D3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bookmark4"/>
      <w:proofErr w:type="spellStart"/>
      <w:proofErr w:type="gramStart"/>
      <w:r w:rsidRPr="00B078FE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1.</w:t>
      </w:r>
      <w:bookmarkEnd w:id="2"/>
      <w:proofErr w:type="gramEnd"/>
      <w:r w:rsidRPr="00B078FE">
        <w:rPr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Bãi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bỏ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Quyết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sô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́ 59/2015/QĐ-UBND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24/11/2015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Ủy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dân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tiêu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chí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xây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dựng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vườn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mẫu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thôn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mới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áp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bàn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Hà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Tĩnh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>.</w:t>
      </w:r>
    </w:p>
    <w:p w:rsidR="00D50FF2" w:rsidRPr="00B078FE" w:rsidRDefault="00522D3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B078FE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2.</w:t>
      </w:r>
      <w:proofErr w:type="gram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khoản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  <w:r w:rsidRPr="00B078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</w:p>
    <w:p w:rsidR="00D50FF2" w:rsidRPr="00B078FE" w:rsidRDefault="00522D3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B078FE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Quyết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kể</w:t>
      </w:r>
      <w:proofErr w:type="spellEnd"/>
      <w:r w:rsidRPr="00B078F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="00C955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955A3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="00C955A3">
        <w:rPr>
          <w:rFonts w:ascii="Times New Roman" w:hAnsi="Times New Roman" w:cs="Times New Roman"/>
          <w:bCs/>
          <w:sz w:val="26"/>
          <w:szCs w:val="26"/>
        </w:rPr>
        <w:t xml:space="preserve"> 14</w:t>
      </w:r>
      <w:bookmarkStart w:id="3" w:name="_GoBack"/>
      <w:bookmarkEnd w:id="3"/>
      <w:r w:rsidR="004B538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B5381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="004B5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5283">
        <w:rPr>
          <w:rFonts w:ascii="Times New Roman" w:hAnsi="Times New Roman" w:cs="Times New Roman"/>
          <w:bCs/>
          <w:sz w:val="26"/>
          <w:szCs w:val="26"/>
        </w:rPr>
        <w:t>8</w:t>
      </w:r>
      <w:r w:rsidR="004B538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955A3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C955A3">
        <w:rPr>
          <w:rFonts w:ascii="Times New Roman" w:hAnsi="Times New Roman" w:cs="Times New Roman"/>
          <w:bCs/>
          <w:sz w:val="26"/>
          <w:szCs w:val="26"/>
        </w:rPr>
        <w:t xml:space="preserve"> 20</w:t>
      </w:r>
      <w:r w:rsidRPr="00B078FE">
        <w:rPr>
          <w:rFonts w:ascii="Times New Roman" w:hAnsi="Times New Roman" w:cs="Times New Roman"/>
          <w:bCs/>
          <w:sz w:val="26"/>
          <w:szCs w:val="26"/>
        </w:rPr>
        <w:t>25.</w:t>
      </w:r>
    </w:p>
    <w:p w:rsidR="00D50FF2" w:rsidRPr="00B078FE" w:rsidRDefault="00522D3F" w:rsidP="00B078FE">
      <w:pPr>
        <w:spacing w:before="60" w:after="120" w:line="240" w:lineRule="auto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078FE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2. </w:t>
      </w:r>
      <w:proofErr w:type="spellStart"/>
      <w:r w:rsidRPr="00B078FE">
        <w:rPr>
          <w:rFonts w:ascii="Times New Roman" w:hAnsi="Times New Roman" w:cs="Times New Roman"/>
          <w:bCs/>
          <w:spacing w:val="-4"/>
          <w:sz w:val="26"/>
          <w:szCs w:val="26"/>
        </w:rPr>
        <w:t>Chánh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Văn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phòng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Ủy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nhân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dân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;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Giám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đốc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Sở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Nông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nghiệp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Môi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trường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;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Thủ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trưởng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các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sở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, ban,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ngành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cấp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tỉnh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;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Chủ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tịch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Ủy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ban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nhân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dân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các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xã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phường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và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các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tổ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chức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cá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nhân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có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liên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quan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chịu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trách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nhiệm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thi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hành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Quyết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định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B078FE">
        <w:rPr>
          <w:rFonts w:ascii="Times New Roman" w:hAnsi="Times New Roman" w:cs="Times New Roman"/>
          <w:spacing w:val="-4"/>
          <w:sz w:val="26"/>
          <w:szCs w:val="26"/>
        </w:rPr>
        <w:t>này</w:t>
      </w:r>
      <w:proofErr w:type="spellEnd"/>
      <w:r w:rsidRPr="00B078FE">
        <w:rPr>
          <w:rFonts w:ascii="Times New Roman" w:hAnsi="Times New Roman" w:cs="Times New Roman"/>
          <w:spacing w:val="-4"/>
          <w:sz w:val="26"/>
          <w:szCs w:val="26"/>
        </w:rPr>
        <w:t>./.</w:t>
      </w:r>
    </w:p>
    <w:tbl>
      <w:tblPr>
        <w:tblStyle w:val="TableGrid"/>
        <w:tblW w:w="935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22"/>
      </w:tblGrid>
      <w:tr w:rsidR="00D50FF2">
        <w:trPr>
          <w:trHeight w:val="1053"/>
        </w:trPr>
        <w:tc>
          <w:tcPr>
            <w:tcW w:w="4537" w:type="dxa"/>
          </w:tcPr>
          <w:p w:rsidR="00D50FF2" w:rsidRDefault="00522D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D50FF2" w:rsidRDefault="00522D3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TTĐT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D50FF2" w:rsidRDefault="00522D3F" w:rsidP="00B0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Cục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VB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QLXVPHC-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TT</w:t>
            </w:r>
            <w:r w:rsidR="00B078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</w:t>
            </w:r>
            <w:proofErr w:type="spellEnd"/>
            <w:r w:rsidR="00B078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HĐND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PCT UBND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ĐBQH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PCVP UBND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CB-TH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VT, NL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2" w:type="dxa"/>
          </w:tcPr>
          <w:p w:rsidR="00D50FF2" w:rsidRDefault="00522D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TM. UỶ BAN NHÂN DÂN</w:t>
            </w:r>
          </w:p>
          <w:p w:rsidR="00D50FF2" w:rsidRDefault="00522D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KT. CHỦ TỊCH</w:t>
            </w:r>
          </w:p>
          <w:p w:rsidR="00D50FF2" w:rsidRDefault="00522D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CHỦ TỊCH</w:t>
            </w:r>
          </w:p>
          <w:p w:rsidR="00D50FF2" w:rsidRDefault="00D50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FF2" w:rsidRDefault="00D50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FF2" w:rsidRPr="00B078FE" w:rsidRDefault="00D50F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78FE" w:rsidRPr="00B078FE" w:rsidRDefault="00B078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0FF2" w:rsidRPr="00B078FE" w:rsidRDefault="00D50F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78FE" w:rsidRPr="00B078FE" w:rsidRDefault="00B078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0FF2" w:rsidRDefault="00D50FF2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D50FF2" w:rsidRDefault="00D50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FF2" w:rsidRDefault="00B078FE" w:rsidP="00B07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522D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522D3F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="00522D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2D3F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="00522D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2D3F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</w:p>
        </w:tc>
      </w:tr>
    </w:tbl>
    <w:p w:rsidR="00D50FF2" w:rsidRDefault="00D50FF2">
      <w:pPr>
        <w:spacing w:line="240" w:lineRule="auto"/>
      </w:pPr>
    </w:p>
    <w:sectPr w:rsidR="00D50FF2">
      <w:headerReference w:type="default" r:id="rId8"/>
      <w:pgSz w:w="11909" w:h="16834" w:code="9"/>
      <w:pgMar w:top="1021" w:right="1021" w:bottom="346" w:left="1588" w:header="51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72" w:rsidRDefault="00321C72">
      <w:pPr>
        <w:spacing w:after="0" w:line="240" w:lineRule="auto"/>
      </w:pPr>
      <w:r>
        <w:separator/>
      </w:r>
    </w:p>
  </w:endnote>
  <w:endnote w:type="continuationSeparator" w:id="0">
    <w:p w:rsidR="00321C72" w:rsidRDefault="0032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72" w:rsidRDefault="00321C72">
      <w:pPr>
        <w:spacing w:after="0" w:line="240" w:lineRule="auto"/>
      </w:pPr>
      <w:r>
        <w:separator/>
      </w:r>
    </w:p>
  </w:footnote>
  <w:footnote w:type="continuationSeparator" w:id="0">
    <w:p w:rsidR="00321C72" w:rsidRDefault="0032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99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0FF2" w:rsidRDefault="00522D3F">
        <w:pPr>
          <w:pStyle w:val="Header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78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:rsidR="00D50FF2" w:rsidRDefault="00321C72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F2"/>
    <w:rsid w:val="001E76D7"/>
    <w:rsid w:val="00321C72"/>
    <w:rsid w:val="004B5381"/>
    <w:rsid w:val="00522D3F"/>
    <w:rsid w:val="007442F3"/>
    <w:rsid w:val="00B078FE"/>
    <w:rsid w:val="00B2373A"/>
    <w:rsid w:val="00C955A3"/>
    <w:rsid w:val="00CE6AC4"/>
    <w:rsid w:val="00D50FF2"/>
    <w:rsid w:val="00EA257B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400" w:lineRule="exact"/>
      <w:jc w:val="center"/>
      <w:outlineLvl w:val="0"/>
    </w:pPr>
    <w:rPr>
      <w:rFonts w:ascii=".VnTime" w:eastAsia="PMingLiU" w:hAnsi=".VnTime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PMingLiU" w:hAnsi=".VnTime" w:cs="Times New Roman"/>
      <w:b/>
      <w:iCs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400" w:lineRule="exact"/>
      <w:jc w:val="center"/>
      <w:outlineLvl w:val="0"/>
    </w:pPr>
    <w:rPr>
      <w:rFonts w:ascii=".VnTime" w:eastAsia="PMingLiU" w:hAnsi=".VnTime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PMingLiU" w:hAnsi=".VnTime" w:cs="Times New Roman"/>
      <w:b/>
      <w:iCs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CC908-4770-4708-88B5-7E4BBF66D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F1EC6-C4BF-434F-9164-EE969EA1308B}"/>
</file>

<file path=customXml/itemProps3.xml><?xml version="1.0" encoding="utf-8"?>
<ds:datastoreItem xmlns:ds="http://schemas.openxmlformats.org/officeDocument/2006/customXml" ds:itemID="{47B204B9-16BC-443E-AC37-3438A0CD31D3}"/>
</file>

<file path=customXml/itemProps4.xml><?xml version="1.0" encoding="utf-8"?>
<ds:datastoreItem xmlns:ds="http://schemas.openxmlformats.org/officeDocument/2006/customXml" ds:itemID="{FA922967-7A1F-4F22-A857-59CA739F4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2025-08-04T01:08:00Z</cp:lastPrinted>
  <dcterms:created xsi:type="dcterms:W3CDTF">2025-07-31T01:26:00Z</dcterms:created>
  <dcterms:modified xsi:type="dcterms:W3CDTF">2025-08-04T10:00:00Z</dcterms:modified>
</cp:coreProperties>
</file>